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Pankratius Störmede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6)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245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Markus Paul Dobras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235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Karin Maria Sprink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224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Bernhard Albert Haneke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218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Wigbert Franz Huneke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180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Franz-Dieter Noel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Hans-Werner Solbach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1931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1931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1931 +Extern: 0 = 1931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0+ 39 =39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293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332 =&gt; 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332=&gt; 17.2%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126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1145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332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164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47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70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38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55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